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D1665" w14:textId="77777777" w:rsidR="006146C1" w:rsidRDefault="00000000">
      <w:pPr>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编制说明</w:t>
      </w:r>
    </w:p>
    <w:p w14:paraId="34C0E926"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一、目的意义</w:t>
      </w:r>
    </w:p>
    <w:p w14:paraId="67BD2314"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rPr>
      </w:pPr>
      <w:r>
        <w:rPr>
          <w:rFonts w:ascii="宋体" w:eastAsia="宋体" w:hAnsi="宋体" w:cs="宋体" w:hint="eastAsia"/>
          <w:color w:val="000000"/>
          <w:szCs w:val="24"/>
        </w:rPr>
        <w:t>近年来，我国慢性病人数不断攀升，居民健康面临严峻挑战，老龄化趋势的加快，使得慢性病潜在病人增加，慢性病疾病负担加重。目前，我国确诊慢性病患者以每年8.9%的速度递增，慢性病死亡人数占总死亡人数的86.6%。我国已经进入慢性病的高负担期。而高血压是我国患病人数最多的慢性病之一，据统计目前我国有超过2.7亿高血压患者，高血压成为城乡居民心脑血管死亡最主要的危险因素，严重影响了人民健康和经济社会发展。</w:t>
      </w:r>
    </w:p>
    <w:p w14:paraId="5DF7B305"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rPr>
      </w:pPr>
      <w:r>
        <w:rPr>
          <w:rFonts w:ascii="宋体" w:eastAsia="宋体" w:hAnsi="宋体" w:cs="宋体" w:hint="eastAsia"/>
          <w:color w:val="000000"/>
          <w:szCs w:val="24"/>
        </w:rPr>
        <w:t>而目前，由于我国慢性病患者数量庞大，基层医疗力量薄弱，健康管理效率低下等原因，绝大多数高血压患者仍未得到及时合理的治疗。如何更好地控制患者血压，降低人群心血管病风险是当前中国亟待解决的重要公共卫生问题。随着互联网、大数据等新兴信息技术的普及，高血压管理技术也实现了变革，其在高血压慢性病门诊管理中的作用也渐渐凸显优势。高血压慢性病管理正慢慢转化为线上线下结合，诊前诊后结合的形式，逐步建设全周期的健康管理，同时加强健康宣教，提高患者的自我健康管理水平。</w:t>
      </w:r>
    </w:p>
    <w:p w14:paraId="029BB138" w14:textId="77777777" w:rsidR="006146C1" w:rsidRDefault="00000000">
      <w:pPr>
        <w:pStyle w:val="a8"/>
        <w:widowControl/>
        <w:shd w:val="clear" w:color="auto" w:fill="FFFFFF"/>
        <w:spacing w:beforeAutospacing="0" w:afterAutospacing="0" w:line="580" w:lineRule="exact"/>
        <w:ind w:firstLineChars="200" w:firstLine="480"/>
        <w:rPr>
          <w:rFonts w:ascii="方正仿宋_GBK" w:eastAsia="方正仿宋_GBK" w:hAnsi="方正仿宋_GBK" w:cs="方正仿宋_GBK"/>
          <w:sz w:val="32"/>
        </w:rPr>
      </w:pPr>
      <w:r>
        <w:rPr>
          <w:rFonts w:ascii="宋体" w:eastAsia="宋体" w:hAnsi="宋体" w:cs="宋体" w:hint="eastAsia"/>
          <w:color w:val="000000"/>
          <w:szCs w:val="24"/>
        </w:rPr>
        <w:t>《慢性病健康管理服务规范第3部分：高血压》明确了慢性病中高血压患者管理的标准及要求，建设了标准化、制度化、普适化的慢病管理规范，顺应了慢性病防治发展的方向。推广慢性病管理规范，可以为各级医院所借鉴，提高各级医疗单位对高血压等慢性病的诊疗水平和慢性病管理水平，从而减少人群中高血压不良事件的发生，减轻全社会的疾病负担，共同实现未来血压管理策略的可扩展性和可持续性。</w:t>
      </w:r>
    </w:p>
    <w:p w14:paraId="29EA6220"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二、任务来源</w:t>
      </w:r>
    </w:p>
    <w:p w14:paraId="1FC3229F" w14:textId="7DF44003"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shd w:val="clear" w:color="auto" w:fill="FFFFFF"/>
        </w:rPr>
      </w:pPr>
      <w:r>
        <w:rPr>
          <w:rFonts w:ascii="宋体" w:eastAsia="宋体" w:hAnsi="宋体" w:cs="宋体" w:hint="eastAsia"/>
          <w:color w:val="000000"/>
          <w:szCs w:val="24"/>
        </w:rPr>
        <w:lastRenderedPageBreak/>
        <w:t>2022年6月29日，江苏省市场监督管理局发布《关于下达2022年度江苏省地方标准项目计划的通知》（苏市监标〔2022〕192号）批准了江苏省地方标准《门诊慢性病防治技术规范 第1部分：高血压患者管理规范》</w:t>
      </w:r>
      <w:r w:rsidR="00B75739">
        <w:rPr>
          <w:rFonts w:ascii="宋体" w:eastAsia="宋体" w:hAnsi="宋体" w:cs="宋体" w:hint="eastAsia"/>
          <w:color w:val="000000"/>
          <w:szCs w:val="24"/>
        </w:rPr>
        <w:t>（序号298）</w:t>
      </w:r>
      <w:r>
        <w:rPr>
          <w:rFonts w:ascii="宋体" w:eastAsia="宋体" w:hAnsi="宋体" w:cs="宋体" w:hint="eastAsia"/>
          <w:color w:val="000000"/>
          <w:szCs w:val="24"/>
        </w:rPr>
        <w:t>的立项。</w:t>
      </w:r>
    </w:p>
    <w:p w14:paraId="1C13F2B3"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三、编制过程</w:t>
      </w:r>
    </w:p>
    <w:p w14:paraId="445274B3"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本标准编制工作主要分三个阶段：</w:t>
      </w:r>
    </w:p>
    <w:p w14:paraId="2A53CF4B"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第一阶段：前期预研</w:t>
      </w:r>
    </w:p>
    <w:p w14:paraId="6C444909"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根据国务院及江苏省政府关于慢病管理工作的有关文件精神，南京医科大学慢性病防治标准化办公室和南京医科大学附属苏州医院结合门诊慢病管理工作的实际情况，在分析研究现有文献资料的基础上，提出了制定相关标准的必要性和可行性。</w:t>
      </w:r>
    </w:p>
    <w:p w14:paraId="12B2C17A"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第二阶段：成立起草小组、确定工作计划及标准框架</w:t>
      </w:r>
    </w:p>
    <w:p w14:paraId="6EB52BAD"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2022年6月，项目任务下达后，南京医科大学、南京医科大学附属苏州医院、江苏省人民医院、江苏亚寰软件股份有限公司成立了标准起草组，召开了标准研制启动会，制定了相应的工作方案和计划，并草拟了标准的基本框架及主要内容。</w:t>
      </w:r>
    </w:p>
    <w:p w14:paraId="37597B31"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第三阶段：标准起草</w:t>
      </w:r>
    </w:p>
    <w:p w14:paraId="7ED7DDA4" w14:textId="77777777" w:rsidR="006146C1" w:rsidRDefault="00000000">
      <w:pPr>
        <w:spacing w:line="580" w:lineRule="exact"/>
        <w:ind w:firstLineChars="200" w:firstLine="480"/>
        <w:rPr>
          <w:rFonts w:ascii="宋体" w:eastAsia="宋体" w:hAnsi="宋体" w:cs="宋体"/>
          <w:color w:val="000000"/>
          <w:kern w:val="0"/>
          <w:szCs w:val="24"/>
        </w:rPr>
      </w:pPr>
      <w:r>
        <w:rPr>
          <w:rFonts w:ascii="宋体" w:eastAsia="宋体" w:hAnsi="宋体" w:cs="宋体" w:hint="eastAsia"/>
          <w:color w:val="000000"/>
          <w:kern w:val="0"/>
          <w:szCs w:val="24"/>
        </w:rPr>
        <w:t>1、文献调研。起草组通过收集和分析研究《中国高血压健康管理规范》《“健康中国2030”规划纲要》、国务院办公厅发布《中国防治慢性病中长期规划（2017—2025年）》等法律法规、政策文件及相关标准，逐步丰富完善标准的框架及内容，形成了标准的工作组讨论稿。本文件主要起草人：丁强、陈彦、钱东福、刘虹、李春雨、张成、王可欣、成荣、焦阳阳、蒋昀洁、张慧娟、周辰宇、龚青云、王迪、谢欣照、陈亚。</w:t>
      </w:r>
    </w:p>
    <w:p w14:paraId="3A5ECA6C"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rPr>
      </w:pPr>
      <w:r>
        <w:rPr>
          <w:rFonts w:ascii="宋体" w:eastAsia="宋体" w:hAnsi="宋体" w:cs="宋体" w:hint="eastAsia"/>
          <w:color w:val="000000"/>
          <w:szCs w:val="24"/>
        </w:rPr>
        <w:lastRenderedPageBreak/>
        <w:t>2、实地调研。2022年8月，起小组对标准框架内容进行研讨，并选择苏南、苏中、苏北地区代表性医疗机构的门诊部进行了实地调研。2022年8月-10月之间，起草小组赴徐州、南通、苏州、南京等地区的医院门诊部进行调研，了解高血压患者慢病管理的现状，听取了当地卫生行政部门、门诊管理以及临床慢病管理的专家意见和建议。</w:t>
      </w:r>
    </w:p>
    <w:p w14:paraId="61887629"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rPr>
      </w:pPr>
      <w:r>
        <w:rPr>
          <w:rFonts w:ascii="宋体" w:eastAsia="宋体" w:hAnsi="宋体" w:cs="宋体" w:hint="eastAsia"/>
          <w:color w:val="000000"/>
          <w:szCs w:val="24"/>
        </w:rPr>
        <w:t>3、专家研讨。根据调研收集的意见和建议，起草组先后召开了三次由省卫健委等政府部门参与的标准研讨会以及起草组内部讨论会，对标准讨论稿的内容不断进行修改、补充和完善，形成了工作组讨论稿（第二稿）。2023年4月，起草组再次召集医疗机构、高校以及标准化领域的有关专家，对标准讨论稿进行深入研究讨论，提出修改完善意见和建议，形成了征求意见稿（第三稿）。</w:t>
      </w:r>
    </w:p>
    <w:p w14:paraId="4B29F66F"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shd w:val="clear" w:color="auto" w:fill="FFFFFF"/>
        </w:rPr>
      </w:pPr>
      <w:r>
        <w:rPr>
          <w:rFonts w:ascii="宋体" w:eastAsia="宋体" w:hAnsi="宋体" w:cs="宋体" w:hint="eastAsia"/>
          <w:color w:val="000000"/>
          <w:szCs w:val="24"/>
        </w:rPr>
        <w:t>4、征求意见。2023年10月-2024年1月，标准起草组通过给相关机构发放征求意见表等方式广泛征求了意见。其中，征集有效意见22条。征求意见结束后，起草组根据各方专家意见，对标准的内容作了进一步修改完善形成了标准送审稿。</w:t>
      </w:r>
    </w:p>
    <w:p w14:paraId="23DFDD9D"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四、主要内容</w:t>
      </w:r>
    </w:p>
    <w:p w14:paraId="5E4588FB"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 xml:space="preserve">本规范确立了高血压健康管理服务中的服务对象、基本条件、服务流程、服务内容与要求、风险评估等要素对应的业务活动要求。本文件适用于江苏省内医疗机构负责健康管理（体检）的部门的慢性病健康管理服务。 </w:t>
      </w:r>
    </w:p>
    <w:p w14:paraId="2CA4E0D3"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（1）</w:t>
      </w:r>
      <w:r>
        <w:rPr>
          <w:rFonts w:ascii="宋体" w:eastAsia="宋体" w:hAnsi="宋体" w:cs="宋体" w:hint="eastAsia"/>
          <w:b/>
          <w:bCs/>
          <w:szCs w:val="24"/>
        </w:rPr>
        <w:t>第一章</w:t>
      </w:r>
      <w:r>
        <w:rPr>
          <w:rFonts w:ascii="宋体" w:eastAsia="宋体" w:hAnsi="宋体" w:cs="宋体" w:hint="eastAsia"/>
          <w:szCs w:val="24"/>
        </w:rPr>
        <w:t>规定了标准适用范围。</w:t>
      </w:r>
    </w:p>
    <w:p w14:paraId="4C51B7BF"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（2）</w:t>
      </w:r>
      <w:r>
        <w:rPr>
          <w:rFonts w:ascii="宋体" w:eastAsia="宋体" w:hAnsi="宋体" w:cs="宋体" w:hint="eastAsia"/>
          <w:b/>
          <w:bCs/>
          <w:szCs w:val="24"/>
        </w:rPr>
        <w:t>第二章</w:t>
      </w:r>
      <w:r>
        <w:rPr>
          <w:rFonts w:ascii="宋体" w:eastAsia="宋体" w:hAnsi="宋体" w:cs="宋体" w:hint="eastAsia"/>
          <w:szCs w:val="24"/>
        </w:rPr>
        <w:t>列出了规范性引用的文件，主要有如下标准：</w:t>
      </w:r>
      <w:r>
        <w:rPr>
          <w:rFonts w:ascii="宋体" w:eastAsia="宋体" w:hAnsi="宋体" w:cs="宋体"/>
          <w:szCs w:val="24"/>
        </w:rPr>
        <w:t>中国高血压健康管理规范（2019）</w:t>
      </w:r>
    </w:p>
    <w:p w14:paraId="760303F5"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（3）</w:t>
      </w:r>
      <w:r>
        <w:rPr>
          <w:rFonts w:ascii="宋体" w:eastAsia="宋体" w:hAnsi="宋体" w:cs="宋体" w:hint="eastAsia"/>
          <w:b/>
          <w:bCs/>
          <w:szCs w:val="24"/>
        </w:rPr>
        <w:t>第三章</w:t>
      </w:r>
      <w:r>
        <w:rPr>
          <w:rFonts w:ascii="宋体" w:eastAsia="宋体" w:hAnsi="宋体" w:cs="宋体" w:hint="eastAsia"/>
          <w:szCs w:val="24"/>
        </w:rPr>
        <w:t>对本标准中出现的重要术语给出了准确的定义。根据 GB/T 1.1—2020所确立的对“术语和定义”起草和表述的要求，给出了慢性病、高血</w:t>
      </w:r>
      <w:r>
        <w:rPr>
          <w:rFonts w:ascii="宋体" w:eastAsia="宋体" w:hAnsi="宋体" w:cs="宋体" w:hint="eastAsia"/>
          <w:szCs w:val="24"/>
        </w:rPr>
        <w:lastRenderedPageBreak/>
        <w:t>压、健康管理等3项术语的定义和英文对应词。</w:t>
      </w:r>
    </w:p>
    <w:p w14:paraId="6CBBCB95"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（4）</w:t>
      </w:r>
      <w:r>
        <w:rPr>
          <w:rFonts w:ascii="宋体" w:eastAsia="宋体" w:hAnsi="宋体" w:cs="宋体" w:hint="eastAsia"/>
          <w:b/>
          <w:bCs/>
          <w:szCs w:val="24"/>
        </w:rPr>
        <w:t>第四章</w:t>
      </w:r>
      <w:r>
        <w:rPr>
          <w:rFonts w:ascii="宋体" w:eastAsia="宋体" w:hAnsi="宋体" w:cs="宋体" w:hint="eastAsia"/>
          <w:szCs w:val="24"/>
        </w:rPr>
        <w:t>定义了服务对象。</w:t>
      </w:r>
    </w:p>
    <w:p w14:paraId="7B7DFD73" w14:textId="77777777" w:rsidR="006146C1" w:rsidRDefault="00000000">
      <w:pPr>
        <w:spacing w:line="580" w:lineRule="exact"/>
        <w:ind w:firstLineChars="200" w:firstLine="480"/>
        <w:rPr>
          <w:rFonts w:ascii="宋体" w:eastAsia="宋体" w:hAnsi="宋体" w:cs="宋体"/>
          <w:b/>
          <w:bCs/>
          <w:szCs w:val="24"/>
        </w:rPr>
      </w:pPr>
      <w:r>
        <w:rPr>
          <w:rFonts w:ascii="宋体" w:eastAsia="宋体" w:hAnsi="宋体" w:cs="宋体" w:hint="eastAsia"/>
          <w:szCs w:val="24"/>
        </w:rPr>
        <w:t>（5）</w:t>
      </w:r>
      <w:r>
        <w:rPr>
          <w:rFonts w:ascii="宋体" w:eastAsia="宋体" w:hAnsi="宋体" w:cs="宋体" w:hint="eastAsia"/>
          <w:b/>
          <w:bCs/>
          <w:szCs w:val="24"/>
        </w:rPr>
        <w:t>第五章</w:t>
      </w:r>
      <w:r>
        <w:rPr>
          <w:rFonts w:ascii="宋体" w:eastAsia="宋体" w:hAnsi="宋体" w:cs="宋体" w:hint="eastAsia"/>
          <w:szCs w:val="24"/>
        </w:rPr>
        <w:t>介绍了基本条件包括区域设置、设施设备、信息系统和人员准备。</w:t>
      </w:r>
    </w:p>
    <w:p w14:paraId="2B711B64"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（6）</w:t>
      </w:r>
      <w:r>
        <w:rPr>
          <w:rFonts w:ascii="宋体" w:eastAsia="宋体" w:hAnsi="宋体" w:cs="宋体" w:hint="eastAsia"/>
          <w:b/>
          <w:bCs/>
          <w:szCs w:val="24"/>
        </w:rPr>
        <w:t>第六章</w:t>
      </w:r>
      <w:r>
        <w:rPr>
          <w:rFonts w:ascii="宋体" w:eastAsia="宋体" w:hAnsi="宋体" w:cs="宋体" w:hint="eastAsia"/>
          <w:szCs w:val="24"/>
        </w:rPr>
        <w:t>给出了服务流程图。</w:t>
      </w:r>
    </w:p>
    <w:p w14:paraId="2D34937C"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（7）</w:t>
      </w:r>
      <w:r>
        <w:rPr>
          <w:rFonts w:ascii="宋体" w:eastAsia="宋体" w:hAnsi="宋体" w:cs="宋体" w:hint="eastAsia"/>
          <w:b/>
          <w:bCs/>
          <w:szCs w:val="24"/>
        </w:rPr>
        <w:t>第七章</w:t>
      </w:r>
      <w:r>
        <w:rPr>
          <w:rFonts w:ascii="宋体" w:eastAsia="宋体" w:hAnsi="宋体" w:cs="宋体" w:hint="eastAsia"/>
          <w:szCs w:val="24"/>
        </w:rPr>
        <w:t>介绍了服务内容与要求包括导诊分流、医生问诊两部分。</w:t>
      </w:r>
    </w:p>
    <w:p w14:paraId="550AD2D0"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（8）</w:t>
      </w:r>
      <w:r>
        <w:rPr>
          <w:rFonts w:ascii="宋体" w:eastAsia="宋体" w:hAnsi="宋体" w:cs="宋体" w:hint="eastAsia"/>
          <w:b/>
          <w:bCs/>
          <w:szCs w:val="24"/>
        </w:rPr>
        <w:t>第八章</w:t>
      </w:r>
      <w:r>
        <w:rPr>
          <w:rFonts w:ascii="宋体" w:eastAsia="宋体" w:hAnsi="宋体" w:cs="宋体" w:hint="eastAsia"/>
          <w:szCs w:val="24"/>
        </w:rPr>
        <w:t>给出了风险评估包括病史采集、体格检查、实验室检查、血压水平分级、心血管风险综合评估等内容。</w:t>
      </w:r>
    </w:p>
    <w:p w14:paraId="1B465C71"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（9）</w:t>
      </w:r>
      <w:r>
        <w:rPr>
          <w:rFonts w:ascii="宋体" w:eastAsia="宋体" w:hAnsi="宋体" w:cs="宋体" w:hint="eastAsia"/>
          <w:b/>
          <w:bCs/>
          <w:szCs w:val="24"/>
        </w:rPr>
        <w:t>第九章</w:t>
      </w:r>
      <w:r>
        <w:rPr>
          <w:rFonts w:ascii="宋体" w:eastAsia="宋体" w:hAnsi="宋体" w:cs="宋体" w:hint="eastAsia"/>
          <w:szCs w:val="24"/>
        </w:rPr>
        <w:t>介绍了高血压患者的随访与跟踪包括随访准备、基层分类随访管理两部分内容。</w:t>
      </w:r>
    </w:p>
    <w:p w14:paraId="75551D96"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（10）</w:t>
      </w:r>
      <w:r>
        <w:rPr>
          <w:rFonts w:ascii="宋体" w:eastAsia="宋体" w:hAnsi="宋体" w:cs="宋体" w:hint="eastAsia"/>
          <w:b/>
          <w:bCs/>
          <w:szCs w:val="24"/>
        </w:rPr>
        <w:t>第十章</w:t>
      </w:r>
      <w:r>
        <w:rPr>
          <w:rFonts w:ascii="宋体" w:eastAsia="宋体" w:hAnsi="宋体" w:cs="宋体" w:hint="eastAsia"/>
          <w:szCs w:val="24"/>
        </w:rPr>
        <w:t>介绍了患者健康管理内容包括</w:t>
      </w:r>
      <w:r>
        <w:rPr>
          <w:rFonts w:ascii="宋体" w:eastAsia="宋体" w:hAnsi="宋体" w:cs="宋体"/>
          <w:szCs w:val="24"/>
        </w:rPr>
        <w:t>自我管理</w:t>
      </w:r>
      <w:r>
        <w:rPr>
          <w:rFonts w:ascii="宋体" w:eastAsia="宋体" w:hAnsi="宋体" w:cs="宋体" w:hint="eastAsia"/>
          <w:szCs w:val="24"/>
        </w:rPr>
        <w:t>、特殊人群的高血压管理和网络管理三部分。</w:t>
      </w:r>
    </w:p>
    <w:p w14:paraId="5D5CE8B8"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（11）</w:t>
      </w:r>
      <w:r>
        <w:rPr>
          <w:rFonts w:ascii="宋体" w:eastAsia="宋体" w:hAnsi="宋体" w:cs="宋体" w:hint="eastAsia"/>
          <w:b/>
          <w:bCs/>
          <w:szCs w:val="24"/>
        </w:rPr>
        <w:t>第十一章</w:t>
      </w:r>
      <w:r>
        <w:rPr>
          <w:rFonts w:ascii="宋体" w:eastAsia="宋体" w:hAnsi="宋体" w:cs="宋体" w:hint="eastAsia"/>
          <w:szCs w:val="24"/>
        </w:rPr>
        <w:t>给出了生活方式指导，详细介绍了膳食情况、饮酒情况等内容。</w:t>
      </w:r>
    </w:p>
    <w:p w14:paraId="5058C3F8" w14:textId="77777777" w:rsidR="006146C1" w:rsidRDefault="00000000">
      <w:pPr>
        <w:spacing w:line="580" w:lineRule="exact"/>
        <w:ind w:firstLineChars="200" w:firstLine="480"/>
        <w:rPr>
          <w:rFonts w:ascii="宋体" w:eastAsia="宋体" w:hAnsi="宋体" w:cs="宋体"/>
          <w:szCs w:val="24"/>
        </w:rPr>
      </w:pPr>
      <w:r>
        <w:rPr>
          <w:rFonts w:ascii="宋体" w:eastAsia="宋体" w:hAnsi="宋体" w:cs="宋体" w:hint="eastAsia"/>
          <w:szCs w:val="24"/>
        </w:rPr>
        <w:t>（12）</w:t>
      </w:r>
      <w:r>
        <w:rPr>
          <w:rFonts w:ascii="宋体" w:eastAsia="宋体" w:hAnsi="宋体" w:cs="宋体" w:hint="eastAsia"/>
          <w:b/>
          <w:bCs/>
          <w:szCs w:val="24"/>
        </w:rPr>
        <w:t>第十二章</w:t>
      </w:r>
      <w:r>
        <w:rPr>
          <w:rFonts w:ascii="宋体" w:eastAsia="宋体" w:hAnsi="宋体" w:cs="宋体" w:hint="eastAsia"/>
          <w:szCs w:val="24"/>
        </w:rPr>
        <w:t>介绍了管理效果考核、评价与改进的评价原则、方式、指标和方法。</w:t>
      </w:r>
    </w:p>
    <w:p w14:paraId="7862D4DC"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五、技术指标确定的依据</w:t>
      </w:r>
    </w:p>
    <w:p w14:paraId="028CFEFA"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shd w:val="clear" w:color="auto" w:fill="FFFFFF"/>
        </w:rPr>
      </w:pPr>
      <w:r>
        <w:rPr>
          <w:rFonts w:ascii="宋体" w:eastAsia="宋体" w:hAnsi="宋体" w:cs="宋体" w:hint="eastAsia"/>
          <w:kern w:val="2"/>
          <w:szCs w:val="24"/>
        </w:rPr>
        <w:t>本标准的制订依据《医疗机构基本标准（试行）》《三级医院评审标准》等及其实施条例的相关规定，按GB/T 1.1-2009《标准化工作导则 第1部分：标准的结构和编写规则》中的原则要求进行编写。</w:t>
      </w:r>
      <w:r>
        <w:rPr>
          <w:rFonts w:ascii="宋体" w:eastAsia="宋体" w:hAnsi="宋体" w:cs="宋体" w:hint="eastAsia"/>
          <w:color w:val="000000"/>
          <w:szCs w:val="24"/>
          <w:shd w:val="clear" w:color="auto" w:fill="FFFFFF"/>
        </w:rPr>
        <w:t>从范围、规范性引用文件、术语和定义、管理人员、管理内容、管理要求等方面，对高血压慢性病管理工作提出了相应的要求或建议，其结构安排、内容设计主要是参考国家发展改革委印发的《国家基本公共卫生服务项目—高血压患者健康管理服务规范》、国务</w:t>
      </w:r>
      <w:r>
        <w:rPr>
          <w:rFonts w:ascii="宋体" w:eastAsia="宋体" w:hAnsi="宋体" w:cs="宋体" w:hint="eastAsia"/>
          <w:color w:val="000000"/>
          <w:szCs w:val="24"/>
          <w:shd w:val="clear" w:color="auto" w:fill="FFFFFF"/>
        </w:rPr>
        <w:lastRenderedPageBreak/>
        <w:t>院办公厅印发的《中国防治慢性病中长期规划（2017－2025年）》等相关文件，以及相关部门开展门诊高血压患者管理的实际工作经验。</w:t>
      </w:r>
    </w:p>
    <w:p w14:paraId="761E6474" w14:textId="77777777" w:rsidR="006146C1" w:rsidRDefault="00000000">
      <w:pPr>
        <w:pStyle w:val="a8"/>
        <w:widowControl/>
        <w:shd w:val="clear" w:color="auto" w:fill="FFFFFF"/>
        <w:spacing w:beforeAutospacing="0" w:afterAutospacing="0" w:line="580" w:lineRule="exact"/>
        <w:ind w:firstLineChars="200" w:firstLine="480"/>
        <w:rPr>
          <w:rFonts w:ascii="宋体" w:eastAsia="宋体" w:hAnsi="宋体" w:cs="宋体"/>
          <w:color w:val="000000"/>
          <w:szCs w:val="24"/>
          <w:shd w:val="clear" w:color="auto" w:fill="FFFFFF"/>
        </w:rPr>
      </w:pPr>
      <w:r>
        <w:rPr>
          <w:rFonts w:ascii="宋体" w:eastAsia="宋体" w:hAnsi="宋体" w:cs="宋体" w:hint="eastAsia"/>
          <w:color w:val="000000"/>
          <w:szCs w:val="24"/>
          <w:shd w:val="clear" w:color="auto" w:fill="FFFFFF"/>
        </w:rPr>
        <w:t>在某些条文的处理上，起草组广泛听取了专家及相关方面的意见和建议，根据我省的监管实际，遵循先进性、实用性、统一性、规范性等原则，同时注重标准的可操作性，进一步确定了标准名称、适用范围、内容细节等。比如：</w:t>
      </w:r>
    </w:p>
    <w:p w14:paraId="0700B9B9"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1、修改细节。参考专家建议：“导医虽然涉及医疗和健康服务领域，但在职责、工作内容、专业背景及工作重点等方面与健康管理师存在显著差异，在某些特定情境下更倾向于使用“健康管理师”这一称谓。”</w:t>
      </w:r>
    </w:p>
    <w:p w14:paraId="41E190E6"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2、精简与整合各级标题：根据专家意见，为提升标准的简洁性和可读性，对部分冗长或重复的小标题进行了精简。例如，将“10 高血压慢性病患者健康管理双向转诊”简化为“双向转诊”，避免在标题中重复提及主体对象；同时，对存在类似问题的其他小标题也进行了相应的修改，例如“ 12 管理效果考核、评价与改进”中将下级小标题删除，确保整个标准体系结构的清晰和精炼。</w:t>
      </w:r>
    </w:p>
    <w:p w14:paraId="0580A538"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3、设定适用范围。本标准适用于江苏省内三级公立医院慢性病门诊，慢性病患者的就诊流程、随访流程、健康管理流程、考核要求。</w:t>
      </w:r>
    </w:p>
    <w:p w14:paraId="334F0AC5" w14:textId="77777777" w:rsidR="006146C1" w:rsidRDefault="00000000">
      <w:pPr>
        <w:spacing w:line="580" w:lineRule="exact"/>
        <w:ind w:firstLineChars="200" w:firstLine="480"/>
        <w:rPr>
          <w:rFonts w:ascii="宋体" w:eastAsia="宋体" w:hAnsi="宋体" w:cs="宋体"/>
          <w:color w:val="000000"/>
          <w:szCs w:val="24"/>
          <w:shd w:val="clear" w:color="auto" w:fill="FFFFFF"/>
        </w:rPr>
      </w:pPr>
      <w:r>
        <w:rPr>
          <w:rFonts w:ascii="宋体" w:eastAsia="宋体" w:hAnsi="宋体" w:cs="宋体" w:hint="eastAsia"/>
        </w:rPr>
        <w:t>4、简化内容。参考专家建议：“例如11.1 此条内容书写过于冗杂，太过详细，作为一般性建议应当再加以概括，将后续的细节内容加以概括。”</w:t>
      </w:r>
    </w:p>
    <w:p w14:paraId="7A5CEE98"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六、重大分歧意见的处理过程和依据</w:t>
      </w:r>
    </w:p>
    <w:p w14:paraId="5A3A44EA"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无</w:t>
      </w:r>
    </w:p>
    <w:p w14:paraId="08729D0D"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七、与相关法律法规和国家标准的关系</w:t>
      </w:r>
    </w:p>
    <w:p w14:paraId="2FFFBF9C"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本标准符合相关法律法规要求，技术指标高于国家标准相关技术要求。</w:t>
      </w:r>
    </w:p>
    <w:p w14:paraId="01668CE2"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八、推广实施建议</w:t>
      </w:r>
    </w:p>
    <w:p w14:paraId="563758F9"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本标准如果颁布实施，可为省内慢性病中高血压患者的管理提供依据。为更好地贯彻实施本标准，建议如下：</w:t>
      </w:r>
    </w:p>
    <w:p w14:paraId="245D1C01"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lastRenderedPageBreak/>
        <w:t>各级标准化主管部门委托标准化技术机构、标准化行业协会或类似社会组织开展宣贯培训班，共同学习本标准，推动标准化、制度化、普适化的门诊高血压患者管理规范的实施。</w:t>
      </w:r>
    </w:p>
    <w:p w14:paraId="2308259C" w14:textId="77777777" w:rsidR="006146C1" w:rsidRDefault="00000000">
      <w:pPr>
        <w:spacing w:line="580" w:lineRule="exact"/>
        <w:ind w:firstLineChars="200" w:firstLine="480"/>
        <w:rPr>
          <w:rFonts w:ascii="宋体" w:eastAsia="宋体" w:hAnsi="宋体" w:cs="宋体"/>
        </w:rPr>
      </w:pPr>
      <w:r>
        <w:rPr>
          <w:rFonts w:ascii="宋体" w:eastAsia="宋体" w:hAnsi="宋体" w:cs="宋体" w:hint="eastAsia"/>
        </w:rPr>
        <w:t>（2）通过新闻媒体等方式向全省展开宣传，充分发挥本标准对指导和促进门诊高血压患者管理规范建设的积极作用。</w:t>
      </w:r>
    </w:p>
    <w:p w14:paraId="0A97A3F2" w14:textId="77777777" w:rsidR="006146C1" w:rsidRDefault="00000000">
      <w:pPr>
        <w:spacing w:line="580" w:lineRule="exact"/>
        <w:ind w:firstLineChars="200" w:firstLine="640"/>
        <w:rPr>
          <w:rFonts w:ascii="黑体" w:eastAsia="黑体" w:hAnsi="黑体" w:cs="黑体"/>
          <w:sz w:val="32"/>
        </w:rPr>
      </w:pPr>
      <w:r>
        <w:rPr>
          <w:rFonts w:ascii="黑体" w:eastAsia="黑体" w:hAnsi="黑体" w:cs="黑体" w:hint="eastAsia"/>
          <w:sz w:val="32"/>
        </w:rPr>
        <w:t>九、起草单位和起草人员信息及分工</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052"/>
        <w:gridCol w:w="1196"/>
        <w:gridCol w:w="2863"/>
      </w:tblGrid>
      <w:tr w:rsidR="006146C1" w14:paraId="536B8BBB" w14:textId="77777777">
        <w:trPr>
          <w:trHeight w:val="288"/>
        </w:trPr>
        <w:tc>
          <w:tcPr>
            <w:tcW w:w="1983" w:type="pct"/>
            <w:noWrap/>
            <w:vAlign w:val="center"/>
          </w:tcPr>
          <w:p w14:paraId="76793F52"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起草单位</w:t>
            </w:r>
          </w:p>
        </w:tc>
        <w:tc>
          <w:tcPr>
            <w:tcW w:w="645" w:type="pct"/>
            <w:noWrap/>
            <w:vAlign w:val="center"/>
          </w:tcPr>
          <w:p w14:paraId="247F26C6"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起草人</w:t>
            </w:r>
          </w:p>
        </w:tc>
        <w:tc>
          <w:tcPr>
            <w:tcW w:w="873" w:type="pct"/>
            <w:noWrap/>
            <w:vAlign w:val="center"/>
          </w:tcPr>
          <w:p w14:paraId="3CFF48AE"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职称/职务</w:t>
            </w:r>
          </w:p>
        </w:tc>
        <w:tc>
          <w:tcPr>
            <w:tcW w:w="1497" w:type="pct"/>
            <w:noWrap/>
            <w:vAlign w:val="center"/>
          </w:tcPr>
          <w:p w14:paraId="28941161"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分工</w:t>
            </w:r>
          </w:p>
        </w:tc>
      </w:tr>
      <w:tr w:rsidR="006146C1" w14:paraId="302BDF06" w14:textId="77777777">
        <w:trPr>
          <w:trHeight w:val="288"/>
        </w:trPr>
        <w:tc>
          <w:tcPr>
            <w:tcW w:w="1983" w:type="pct"/>
            <w:noWrap/>
            <w:vAlign w:val="center"/>
          </w:tcPr>
          <w:p w14:paraId="5FDC6870"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南京医科大学/江苏省人民医院</w:t>
            </w:r>
          </w:p>
        </w:tc>
        <w:tc>
          <w:tcPr>
            <w:tcW w:w="645" w:type="pct"/>
            <w:noWrap/>
            <w:vAlign w:val="center"/>
          </w:tcPr>
          <w:p w14:paraId="259F72E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丁强</w:t>
            </w:r>
          </w:p>
        </w:tc>
        <w:tc>
          <w:tcPr>
            <w:tcW w:w="873" w:type="pct"/>
            <w:noWrap/>
            <w:vAlign w:val="center"/>
          </w:tcPr>
          <w:p w14:paraId="7108803A"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教授/书记</w:t>
            </w:r>
          </w:p>
        </w:tc>
        <w:tc>
          <w:tcPr>
            <w:tcW w:w="1497" w:type="pct"/>
            <w:noWrap/>
            <w:vAlign w:val="center"/>
          </w:tcPr>
          <w:p w14:paraId="6E2C2F9F"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顶层设计、组织协调</w:t>
            </w:r>
          </w:p>
        </w:tc>
      </w:tr>
      <w:tr w:rsidR="006146C1" w14:paraId="2FE6F8E7" w14:textId="77777777">
        <w:trPr>
          <w:trHeight w:val="576"/>
        </w:trPr>
        <w:tc>
          <w:tcPr>
            <w:tcW w:w="3548" w:type="dxa"/>
            <w:noWrap/>
            <w:vAlign w:val="center"/>
          </w:tcPr>
          <w:p w14:paraId="1E17B130"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南京医科大学/南京医科大学附属苏州医院</w:t>
            </w:r>
          </w:p>
        </w:tc>
        <w:tc>
          <w:tcPr>
            <w:tcW w:w="1154" w:type="dxa"/>
            <w:noWrap/>
            <w:vAlign w:val="center"/>
          </w:tcPr>
          <w:p w14:paraId="0DF54745"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陈彦</w:t>
            </w:r>
          </w:p>
        </w:tc>
        <w:tc>
          <w:tcPr>
            <w:tcW w:w="873" w:type="pct"/>
            <w:noWrap/>
            <w:vAlign w:val="center"/>
          </w:tcPr>
          <w:p w14:paraId="15BBEAD3"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教授/院长</w:t>
            </w:r>
          </w:p>
        </w:tc>
        <w:tc>
          <w:tcPr>
            <w:tcW w:w="1497" w:type="pct"/>
            <w:vAlign w:val="center"/>
          </w:tcPr>
          <w:p w14:paraId="652C6270"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1 范围</w:t>
            </w:r>
          </w:p>
          <w:p w14:paraId="72C94EF5"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3 术语和定义</w:t>
            </w:r>
          </w:p>
        </w:tc>
      </w:tr>
      <w:tr w:rsidR="006146C1" w14:paraId="61AFF890" w14:textId="77777777">
        <w:trPr>
          <w:trHeight w:val="576"/>
        </w:trPr>
        <w:tc>
          <w:tcPr>
            <w:tcW w:w="1983" w:type="pct"/>
            <w:noWrap/>
            <w:vAlign w:val="center"/>
          </w:tcPr>
          <w:p w14:paraId="4AE77EF9"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2DFEF41E"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钱东福</w:t>
            </w:r>
          </w:p>
        </w:tc>
        <w:tc>
          <w:tcPr>
            <w:tcW w:w="873" w:type="pct"/>
            <w:noWrap/>
            <w:vAlign w:val="center"/>
          </w:tcPr>
          <w:p w14:paraId="28E7FEB0"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教授/院长</w:t>
            </w:r>
          </w:p>
        </w:tc>
        <w:tc>
          <w:tcPr>
            <w:tcW w:w="1497" w:type="pct"/>
            <w:vAlign w:val="center"/>
          </w:tcPr>
          <w:p w14:paraId="67226CF8"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3 术语和定义</w:t>
            </w:r>
          </w:p>
          <w:p w14:paraId="2EBB476D"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 服务对象</w:t>
            </w:r>
          </w:p>
        </w:tc>
      </w:tr>
      <w:tr w:rsidR="006146C1" w14:paraId="1F548609" w14:textId="77777777">
        <w:trPr>
          <w:trHeight w:val="288"/>
        </w:trPr>
        <w:tc>
          <w:tcPr>
            <w:tcW w:w="1983" w:type="pct"/>
            <w:noWrap/>
            <w:vAlign w:val="center"/>
          </w:tcPr>
          <w:p w14:paraId="36DF8F98"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3994878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刘虹</w:t>
            </w:r>
          </w:p>
        </w:tc>
        <w:tc>
          <w:tcPr>
            <w:tcW w:w="873" w:type="pct"/>
            <w:noWrap/>
            <w:vAlign w:val="center"/>
          </w:tcPr>
          <w:p w14:paraId="1220CAB9"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教授</w:t>
            </w:r>
          </w:p>
        </w:tc>
        <w:tc>
          <w:tcPr>
            <w:tcW w:w="1497" w:type="pct"/>
            <w:noWrap/>
            <w:vAlign w:val="center"/>
          </w:tcPr>
          <w:p w14:paraId="0F0DCBEA"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咨询指导</w:t>
            </w:r>
          </w:p>
        </w:tc>
      </w:tr>
      <w:tr w:rsidR="006146C1" w14:paraId="3AA2F863" w14:textId="77777777">
        <w:trPr>
          <w:trHeight w:val="288"/>
        </w:trPr>
        <w:tc>
          <w:tcPr>
            <w:tcW w:w="1983" w:type="pct"/>
            <w:noWrap/>
            <w:vAlign w:val="center"/>
          </w:tcPr>
          <w:p w14:paraId="08A6B953"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江苏省人民医院</w:t>
            </w:r>
          </w:p>
        </w:tc>
        <w:tc>
          <w:tcPr>
            <w:tcW w:w="645" w:type="pct"/>
            <w:noWrap/>
            <w:vAlign w:val="center"/>
          </w:tcPr>
          <w:p w14:paraId="7F206583"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李春雨</w:t>
            </w:r>
          </w:p>
        </w:tc>
        <w:tc>
          <w:tcPr>
            <w:tcW w:w="873" w:type="pct"/>
            <w:noWrap/>
            <w:vAlign w:val="center"/>
          </w:tcPr>
          <w:p w14:paraId="18E353EB"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主治医师</w:t>
            </w:r>
          </w:p>
        </w:tc>
        <w:tc>
          <w:tcPr>
            <w:tcW w:w="1497" w:type="pct"/>
            <w:noWrap/>
            <w:vAlign w:val="center"/>
          </w:tcPr>
          <w:p w14:paraId="641725A0"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6 服务流程</w:t>
            </w:r>
          </w:p>
          <w:p w14:paraId="670B615C"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12 管理效果考核、评价与改进</w:t>
            </w:r>
          </w:p>
        </w:tc>
      </w:tr>
      <w:tr w:rsidR="006146C1" w14:paraId="4F66E44E" w14:textId="77777777">
        <w:trPr>
          <w:trHeight w:val="288"/>
        </w:trPr>
        <w:tc>
          <w:tcPr>
            <w:tcW w:w="1983" w:type="pct"/>
            <w:noWrap/>
            <w:vAlign w:val="center"/>
          </w:tcPr>
          <w:p w14:paraId="191FD25F"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江苏省人民医院</w:t>
            </w:r>
          </w:p>
        </w:tc>
        <w:tc>
          <w:tcPr>
            <w:tcW w:w="645" w:type="pct"/>
            <w:noWrap/>
            <w:vAlign w:val="center"/>
          </w:tcPr>
          <w:p w14:paraId="74D64945"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张成</w:t>
            </w:r>
          </w:p>
        </w:tc>
        <w:tc>
          <w:tcPr>
            <w:tcW w:w="873" w:type="pct"/>
            <w:noWrap/>
            <w:vAlign w:val="center"/>
          </w:tcPr>
          <w:p w14:paraId="5BC5D633"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助理研究员</w:t>
            </w:r>
          </w:p>
        </w:tc>
        <w:tc>
          <w:tcPr>
            <w:tcW w:w="1497" w:type="pct"/>
            <w:vAlign w:val="center"/>
          </w:tcPr>
          <w:p w14:paraId="4FB73F5D" w14:textId="77777777" w:rsidR="006146C1" w:rsidRDefault="00000000">
            <w:pPr>
              <w:widowControl/>
              <w:jc w:val="center"/>
              <w:textAlignment w:val="center"/>
              <w:rPr>
                <w:rFonts w:ascii="宋体" w:eastAsia="宋体" w:hAnsi="宋体" w:cs="宋体"/>
                <w:color w:val="000000"/>
                <w:kern w:val="0"/>
                <w:sz w:val="21"/>
                <w:szCs w:val="21"/>
                <w:lang w:bidi="ar"/>
              </w:rPr>
            </w:pPr>
            <w:r>
              <w:rPr>
                <w:rFonts w:ascii="宋体" w:eastAsia="宋体" w:hAnsi="宋体" w:cs="宋体" w:hint="eastAsia"/>
                <w:color w:val="000000"/>
                <w:kern w:val="0"/>
                <w:sz w:val="21"/>
                <w:szCs w:val="21"/>
                <w:lang w:bidi="ar"/>
              </w:rPr>
              <w:t>5 基本条件</w:t>
            </w:r>
          </w:p>
          <w:p w14:paraId="4406AEA6" w14:textId="77777777" w:rsidR="006146C1" w:rsidRDefault="00000000">
            <w:pPr>
              <w:widowControl/>
              <w:jc w:val="center"/>
              <w:textAlignment w:val="center"/>
              <w:rPr>
                <w:rFonts w:ascii="宋体" w:eastAsia="宋体" w:hAnsi="宋体" w:cs="宋体"/>
                <w:color w:val="000000"/>
                <w:kern w:val="0"/>
                <w:sz w:val="21"/>
                <w:szCs w:val="21"/>
                <w:lang w:bidi="ar"/>
              </w:rPr>
            </w:pPr>
            <w:r>
              <w:rPr>
                <w:rFonts w:ascii="宋体" w:eastAsia="宋体" w:hAnsi="宋体" w:cs="宋体" w:hint="eastAsia"/>
                <w:color w:val="000000"/>
                <w:kern w:val="0"/>
                <w:sz w:val="21"/>
                <w:szCs w:val="21"/>
                <w:lang w:bidi="ar"/>
              </w:rPr>
              <w:t>11 生活方式指导</w:t>
            </w:r>
          </w:p>
        </w:tc>
      </w:tr>
      <w:tr w:rsidR="006146C1" w14:paraId="5BDB6BC0" w14:textId="77777777">
        <w:trPr>
          <w:trHeight w:val="576"/>
        </w:trPr>
        <w:tc>
          <w:tcPr>
            <w:tcW w:w="1983" w:type="pct"/>
            <w:noWrap/>
            <w:vAlign w:val="center"/>
          </w:tcPr>
          <w:p w14:paraId="3951618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02181034"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王可欣</w:t>
            </w:r>
          </w:p>
        </w:tc>
        <w:tc>
          <w:tcPr>
            <w:tcW w:w="873" w:type="pct"/>
            <w:noWrap/>
            <w:vAlign w:val="center"/>
          </w:tcPr>
          <w:p w14:paraId="70325448"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无</w:t>
            </w:r>
          </w:p>
        </w:tc>
        <w:tc>
          <w:tcPr>
            <w:tcW w:w="1497" w:type="pct"/>
            <w:vAlign w:val="center"/>
          </w:tcPr>
          <w:p w14:paraId="55D8539B" w14:textId="77777777" w:rsidR="006146C1" w:rsidRDefault="00000000">
            <w:pPr>
              <w:widowControl/>
              <w:jc w:val="center"/>
              <w:textAlignment w:val="center"/>
              <w:rPr>
                <w:rFonts w:ascii="宋体" w:eastAsia="宋体" w:hAnsi="宋体" w:cs="宋体"/>
                <w:color w:val="000000"/>
                <w:kern w:val="0"/>
                <w:sz w:val="21"/>
                <w:szCs w:val="21"/>
                <w:lang w:bidi="ar"/>
              </w:rPr>
            </w:pPr>
            <w:r>
              <w:rPr>
                <w:rFonts w:ascii="宋体" w:eastAsia="宋体" w:hAnsi="宋体" w:cs="宋体" w:hint="eastAsia"/>
                <w:color w:val="000000"/>
                <w:kern w:val="0"/>
                <w:sz w:val="21"/>
                <w:szCs w:val="21"/>
                <w:lang w:bidi="ar"/>
              </w:rPr>
              <w:t>7 服务内容与要求</w:t>
            </w:r>
          </w:p>
          <w:p w14:paraId="670C3F0B" w14:textId="77777777" w:rsidR="006146C1" w:rsidRDefault="00000000">
            <w:pPr>
              <w:widowControl/>
              <w:jc w:val="center"/>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lang w:bidi="ar"/>
              </w:rPr>
              <w:t>10 患者健康管理</w:t>
            </w:r>
          </w:p>
        </w:tc>
      </w:tr>
      <w:tr w:rsidR="006146C1" w14:paraId="2F08B6FD" w14:textId="77777777">
        <w:trPr>
          <w:trHeight w:val="288"/>
        </w:trPr>
        <w:tc>
          <w:tcPr>
            <w:tcW w:w="1983" w:type="pct"/>
            <w:noWrap/>
            <w:vAlign w:val="center"/>
          </w:tcPr>
          <w:p w14:paraId="0BC18E07"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南京医科大学附属苏州医院</w:t>
            </w:r>
          </w:p>
        </w:tc>
        <w:tc>
          <w:tcPr>
            <w:tcW w:w="645" w:type="pct"/>
            <w:noWrap/>
            <w:vAlign w:val="center"/>
          </w:tcPr>
          <w:p w14:paraId="1B725DE4"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成荣</w:t>
            </w:r>
          </w:p>
        </w:tc>
        <w:tc>
          <w:tcPr>
            <w:tcW w:w="873" w:type="pct"/>
            <w:noWrap/>
            <w:vAlign w:val="center"/>
          </w:tcPr>
          <w:p w14:paraId="0D88A1EA"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无</w:t>
            </w:r>
          </w:p>
        </w:tc>
        <w:tc>
          <w:tcPr>
            <w:tcW w:w="1497" w:type="pct"/>
            <w:noWrap/>
            <w:vAlign w:val="center"/>
          </w:tcPr>
          <w:p w14:paraId="4DB83652"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8 风险评估</w:t>
            </w:r>
          </w:p>
        </w:tc>
      </w:tr>
      <w:tr w:rsidR="006146C1" w14:paraId="18A4C03C" w14:textId="77777777">
        <w:trPr>
          <w:trHeight w:val="288"/>
        </w:trPr>
        <w:tc>
          <w:tcPr>
            <w:tcW w:w="1983" w:type="pct"/>
            <w:noWrap/>
            <w:vAlign w:val="center"/>
          </w:tcPr>
          <w:p w14:paraId="7C60E185"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2BB8B4D0"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焦阳阳</w:t>
            </w:r>
          </w:p>
        </w:tc>
        <w:tc>
          <w:tcPr>
            <w:tcW w:w="873" w:type="pct"/>
            <w:noWrap/>
            <w:vAlign w:val="center"/>
          </w:tcPr>
          <w:p w14:paraId="67FD4F06"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无</w:t>
            </w:r>
          </w:p>
        </w:tc>
        <w:tc>
          <w:tcPr>
            <w:tcW w:w="1497" w:type="pct"/>
            <w:noWrap/>
            <w:vAlign w:val="center"/>
          </w:tcPr>
          <w:p w14:paraId="7BCD939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征求意见汇总</w:t>
            </w:r>
          </w:p>
        </w:tc>
      </w:tr>
      <w:tr w:rsidR="006146C1" w14:paraId="18D3AE4B" w14:textId="77777777">
        <w:trPr>
          <w:trHeight w:val="288"/>
        </w:trPr>
        <w:tc>
          <w:tcPr>
            <w:tcW w:w="1983" w:type="pct"/>
            <w:noWrap/>
            <w:vAlign w:val="center"/>
          </w:tcPr>
          <w:p w14:paraId="036F7B51"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66DA8AC5"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蒋昀洁</w:t>
            </w:r>
          </w:p>
        </w:tc>
        <w:tc>
          <w:tcPr>
            <w:tcW w:w="873" w:type="pct"/>
            <w:noWrap/>
            <w:vAlign w:val="center"/>
          </w:tcPr>
          <w:p w14:paraId="690A982E"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副教授</w:t>
            </w:r>
          </w:p>
        </w:tc>
        <w:tc>
          <w:tcPr>
            <w:tcW w:w="1497" w:type="pct"/>
            <w:noWrap/>
            <w:vAlign w:val="center"/>
          </w:tcPr>
          <w:p w14:paraId="567D1D23"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咨询指导</w:t>
            </w:r>
          </w:p>
        </w:tc>
      </w:tr>
      <w:tr w:rsidR="006146C1" w14:paraId="5E4EC95E" w14:textId="77777777">
        <w:trPr>
          <w:trHeight w:val="576"/>
        </w:trPr>
        <w:tc>
          <w:tcPr>
            <w:tcW w:w="1983" w:type="pct"/>
            <w:noWrap/>
            <w:vAlign w:val="center"/>
          </w:tcPr>
          <w:p w14:paraId="0BD24047"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1BF88CC8"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张慧娟</w:t>
            </w:r>
          </w:p>
        </w:tc>
        <w:tc>
          <w:tcPr>
            <w:tcW w:w="873" w:type="pct"/>
            <w:noWrap/>
            <w:vAlign w:val="center"/>
          </w:tcPr>
          <w:p w14:paraId="293D95D8"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讲师</w:t>
            </w:r>
          </w:p>
        </w:tc>
        <w:tc>
          <w:tcPr>
            <w:tcW w:w="1497" w:type="pct"/>
            <w:vAlign w:val="center"/>
          </w:tcPr>
          <w:p w14:paraId="3AAA5A5B"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8 风险评估</w:t>
            </w:r>
          </w:p>
          <w:p w14:paraId="34593B90"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9 高血压患者的随访与跟踪</w:t>
            </w:r>
          </w:p>
        </w:tc>
      </w:tr>
      <w:tr w:rsidR="006146C1" w14:paraId="24D456E3" w14:textId="77777777">
        <w:trPr>
          <w:trHeight w:val="288"/>
        </w:trPr>
        <w:tc>
          <w:tcPr>
            <w:tcW w:w="1983" w:type="pct"/>
            <w:noWrap/>
            <w:vAlign w:val="center"/>
          </w:tcPr>
          <w:p w14:paraId="0F9014F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2581C85D"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周辰宇</w:t>
            </w:r>
          </w:p>
        </w:tc>
        <w:tc>
          <w:tcPr>
            <w:tcW w:w="873" w:type="pct"/>
            <w:noWrap/>
            <w:vAlign w:val="center"/>
          </w:tcPr>
          <w:p w14:paraId="7EF04FD4"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讲师</w:t>
            </w:r>
          </w:p>
        </w:tc>
        <w:tc>
          <w:tcPr>
            <w:tcW w:w="1497" w:type="pct"/>
            <w:noWrap/>
            <w:vAlign w:val="center"/>
          </w:tcPr>
          <w:p w14:paraId="6433731F"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9 高血压患者的随访与跟踪</w:t>
            </w:r>
          </w:p>
        </w:tc>
      </w:tr>
      <w:tr w:rsidR="006146C1" w14:paraId="743A4A54" w14:textId="77777777">
        <w:trPr>
          <w:trHeight w:val="288"/>
        </w:trPr>
        <w:tc>
          <w:tcPr>
            <w:tcW w:w="1983" w:type="pct"/>
            <w:noWrap/>
            <w:vAlign w:val="center"/>
          </w:tcPr>
          <w:p w14:paraId="01160827"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南京医科大学</w:t>
            </w:r>
          </w:p>
        </w:tc>
        <w:tc>
          <w:tcPr>
            <w:tcW w:w="645" w:type="pct"/>
            <w:noWrap/>
            <w:vAlign w:val="center"/>
          </w:tcPr>
          <w:p w14:paraId="454370C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谢欣照</w:t>
            </w:r>
          </w:p>
        </w:tc>
        <w:tc>
          <w:tcPr>
            <w:tcW w:w="873" w:type="pct"/>
            <w:noWrap/>
            <w:vAlign w:val="center"/>
          </w:tcPr>
          <w:p w14:paraId="474B1787"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无</w:t>
            </w:r>
          </w:p>
        </w:tc>
        <w:tc>
          <w:tcPr>
            <w:tcW w:w="1497" w:type="pct"/>
            <w:noWrap/>
            <w:vAlign w:val="center"/>
          </w:tcPr>
          <w:p w14:paraId="26D27E0C" w14:textId="77777777" w:rsidR="006146C1" w:rsidRDefault="00000000">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征求意见汇总</w:t>
            </w:r>
          </w:p>
        </w:tc>
      </w:tr>
      <w:tr w:rsidR="006146C1" w14:paraId="7CE27CF3" w14:textId="77777777">
        <w:trPr>
          <w:trHeight w:val="288"/>
        </w:trPr>
        <w:tc>
          <w:tcPr>
            <w:tcW w:w="1983" w:type="pct"/>
            <w:noWrap/>
            <w:vAlign w:val="center"/>
          </w:tcPr>
          <w:p w14:paraId="7B426CA7"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江苏亚寰软件股份有限公司</w:t>
            </w:r>
          </w:p>
        </w:tc>
        <w:tc>
          <w:tcPr>
            <w:tcW w:w="645" w:type="pct"/>
            <w:noWrap/>
            <w:vAlign w:val="center"/>
          </w:tcPr>
          <w:p w14:paraId="3E4F317D"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陈亚</w:t>
            </w:r>
          </w:p>
        </w:tc>
        <w:tc>
          <w:tcPr>
            <w:tcW w:w="873" w:type="pct"/>
            <w:noWrap/>
            <w:vAlign w:val="center"/>
          </w:tcPr>
          <w:p w14:paraId="7F2A54C2"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总经理</w:t>
            </w:r>
          </w:p>
        </w:tc>
        <w:tc>
          <w:tcPr>
            <w:tcW w:w="1497" w:type="pct"/>
            <w:noWrap/>
            <w:vAlign w:val="center"/>
          </w:tcPr>
          <w:p w14:paraId="16029A34" w14:textId="77777777" w:rsidR="006146C1" w:rsidRDefault="00000000">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咨询指导</w:t>
            </w:r>
          </w:p>
        </w:tc>
      </w:tr>
    </w:tbl>
    <w:p w14:paraId="17E08219" w14:textId="77777777" w:rsidR="006146C1" w:rsidRDefault="006146C1">
      <w:pPr>
        <w:pStyle w:val="a8"/>
        <w:widowControl/>
        <w:shd w:val="clear" w:color="auto" w:fill="FFFFFF"/>
        <w:spacing w:after="210"/>
        <w:jc w:val="center"/>
        <w:rPr>
          <w:rFonts w:ascii="方正仿宋_GBK" w:eastAsia="方正仿宋_GBK" w:hAnsi="方正仿宋_GBK" w:cs="方正仿宋_GBK"/>
          <w:sz w:val="32"/>
        </w:rPr>
      </w:pPr>
    </w:p>
    <w:p w14:paraId="1AEBAA76" w14:textId="77777777" w:rsidR="006146C1" w:rsidRDefault="006146C1">
      <w:pPr>
        <w:spacing w:line="360" w:lineRule="auto"/>
        <w:ind w:firstLineChars="200" w:firstLine="480"/>
        <w:rPr>
          <w:rFonts w:ascii="宋体" w:eastAsia="宋体" w:hAnsi="宋体" w:cs="宋体"/>
          <w:szCs w:val="24"/>
        </w:rPr>
      </w:pPr>
    </w:p>
    <w:sectPr w:rsidR="006146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yOWFiNmI3OTI4YjJiMGVjNTY3ZDFmNzdkZTlkNTQifQ=="/>
  </w:docVars>
  <w:rsids>
    <w:rsidRoot w:val="1E804518"/>
    <w:rsid w:val="00022704"/>
    <w:rsid w:val="0007729D"/>
    <w:rsid w:val="000E3A1B"/>
    <w:rsid w:val="001F6F93"/>
    <w:rsid w:val="00220D18"/>
    <w:rsid w:val="00231AA0"/>
    <w:rsid w:val="00232A60"/>
    <w:rsid w:val="003B2D6B"/>
    <w:rsid w:val="0050692E"/>
    <w:rsid w:val="005823E6"/>
    <w:rsid w:val="005E1A1C"/>
    <w:rsid w:val="006146C1"/>
    <w:rsid w:val="006F2FCC"/>
    <w:rsid w:val="007956A8"/>
    <w:rsid w:val="00844670"/>
    <w:rsid w:val="008D28A8"/>
    <w:rsid w:val="00A92ACB"/>
    <w:rsid w:val="00AD4486"/>
    <w:rsid w:val="00B4000F"/>
    <w:rsid w:val="00B75739"/>
    <w:rsid w:val="00B8077E"/>
    <w:rsid w:val="00C74F19"/>
    <w:rsid w:val="00C7547D"/>
    <w:rsid w:val="00CF4CDE"/>
    <w:rsid w:val="00F041E5"/>
    <w:rsid w:val="00F56F79"/>
    <w:rsid w:val="0377314F"/>
    <w:rsid w:val="05281683"/>
    <w:rsid w:val="055C30DB"/>
    <w:rsid w:val="05656433"/>
    <w:rsid w:val="07F7533D"/>
    <w:rsid w:val="082223BA"/>
    <w:rsid w:val="08E25FED"/>
    <w:rsid w:val="08E73603"/>
    <w:rsid w:val="09B2776D"/>
    <w:rsid w:val="0AA83523"/>
    <w:rsid w:val="0C8F3D96"/>
    <w:rsid w:val="0D5310E4"/>
    <w:rsid w:val="0E26072A"/>
    <w:rsid w:val="0F452403"/>
    <w:rsid w:val="10E24DDC"/>
    <w:rsid w:val="13A26AA4"/>
    <w:rsid w:val="13B16CE7"/>
    <w:rsid w:val="146B6E96"/>
    <w:rsid w:val="14F0383F"/>
    <w:rsid w:val="16970417"/>
    <w:rsid w:val="16D01B7A"/>
    <w:rsid w:val="16FC296F"/>
    <w:rsid w:val="1800023D"/>
    <w:rsid w:val="1833416F"/>
    <w:rsid w:val="18506ACF"/>
    <w:rsid w:val="189D786A"/>
    <w:rsid w:val="193F57AF"/>
    <w:rsid w:val="19E25E4D"/>
    <w:rsid w:val="1B041DF3"/>
    <w:rsid w:val="1C6C3975"/>
    <w:rsid w:val="1CE62D0F"/>
    <w:rsid w:val="1DBC69B5"/>
    <w:rsid w:val="1E804518"/>
    <w:rsid w:val="1FD004F5"/>
    <w:rsid w:val="21442F49"/>
    <w:rsid w:val="21693F59"/>
    <w:rsid w:val="21D544A1"/>
    <w:rsid w:val="226715E5"/>
    <w:rsid w:val="24BE74B6"/>
    <w:rsid w:val="25657932"/>
    <w:rsid w:val="25DE3C5A"/>
    <w:rsid w:val="26BA3388"/>
    <w:rsid w:val="27D843EB"/>
    <w:rsid w:val="28C11323"/>
    <w:rsid w:val="28DC7F0B"/>
    <w:rsid w:val="293E2DC2"/>
    <w:rsid w:val="2AE61515"/>
    <w:rsid w:val="2AEF3A6B"/>
    <w:rsid w:val="2B113AC0"/>
    <w:rsid w:val="2B4545B7"/>
    <w:rsid w:val="2BDC5E30"/>
    <w:rsid w:val="2D510EC7"/>
    <w:rsid w:val="2DCB3482"/>
    <w:rsid w:val="302F1268"/>
    <w:rsid w:val="3080556E"/>
    <w:rsid w:val="319B6BB5"/>
    <w:rsid w:val="355A0B35"/>
    <w:rsid w:val="372E2F13"/>
    <w:rsid w:val="399B5FA9"/>
    <w:rsid w:val="3C1A2DCC"/>
    <w:rsid w:val="3CEC05BB"/>
    <w:rsid w:val="3DE23DBE"/>
    <w:rsid w:val="3E5C270D"/>
    <w:rsid w:val="3E797AC2"/>
    <w:rsid w:val="3F941FB1"/>
    <w:rsid w:val="41E6410E"/>
    <w:rsid w:val="4267663F"/>
    <w:rsid w:val="430805CF"/>
    <w:rsid w:val="440B5E1C"/>
    <w:rsid w:val="457A62DE"/>
    <w:rsid w:val="46324186"/>
    <w:rsid w:val="46AC61A2"/>
    <w:rsid w:val="480956EA"/>
    <w:rsid w:val="48943F06"/>
    <w:rsid w:val="48AE321A"/>
    <w:rsid w:val="499046CE"/>
    <w:rsid w:val="4A286FFC"/>
    <w:rsid w:val="4A6E6B45"/>
    <w:rsid w:val="4AF018C8"/>
    <w:rsid w:val="4B3A2B43"/>
    <w:rsid w:val="4B8A5BFC"/>
    <w:rsid w:val="4BDE3E16"/>
    <w:rsid w:val="4BE8259F"/>
    <w:rsid w:val="4E4458BA"/>
    <w:rsid w:val="4FC84D53"/>
    <w:rsid w:val="5060129E"/>
    <w:rsid w:val="517A013D"/>
    <w:rsid w:val="51E34E99"/>
    <w:rsid w:val="52AA6800"/>
    <w:rsid w:val="54C53DC5"/>
    <w:rsid w:val="553700F3"/>
    <w:rsid w:val="56A96DCF"/>
    <w:rsid w:val="57AF6667"/>
    <w:rsid w:val="58802E6C"/>
    <w:rsid w:val="58A837E2"/>
    <w:rsid w:val="5A1B7661"/>
    <w:rsid w:val="5A9C7376"/>
    <w:rsid w:val="5A9F6E67"/>
    <w:rsid w:val="5AB82A54"/>
    <w:rsid w:val="5AC73CC7"/>
    <w:rsid w:val="5D243653"/>
    <w:rsid w:val="5DA410B8"/>
    <w:rsid w:val="5DA46A40"/>
    <w:rsid w:val="61E652AC"/>
    <w:rsid w:val="620152D8"/>
    <w:rsid w:val="62265778"/>
    <w:rsid w:val="624D40D3"/>
    <w:rsid w:val="62DF0E93"/>
    <w:rsid w:val="62F04BC6"/>
    <w:rsid w:val="634E4F86"/>
    <w:rsid w:val="63500786"/>
    <w:rsid w:val="645760BC"/>
    <w:rsid w:val="656A066E"/>
    <w:rsid w:val="65993BC6"/>
    <w:rsid w:val="673E5311"/>
    <w:rsid w:val="67786A75"/>
    <w:rsid w:val="69670B4F"/>
    <w:rsid w:val="6A815C41"/>
    <w:rsid w:val="6ABC311D"/>
    <w:rsid w:val="6DDD7632"/>
    <w:rsid w:val="6E99397F"/>
    <w:rsid w:val="6EDC0332"/>
    <w:rsid w:val="6FA128E1"/>
    <w:rsid w:val="702C664F"/>
    <w:rsid w:val="70D0347E"/>
    <w:rsid w:val="721A1187"/>
    <w:rsid w:val="729F75AC"/>
    <w:rsid w:val="73337CF4"/>
    <w:rsid w:val="73DC0A0D"/>
    <w:rsid w:val="767E36AA"/>
    <w:rsid w:val="768A2321"/>
    <w:rsid w:val="7B2965AD"/>
    <w:rsid w:val="7BC91D11"/>
    <w:rsid w:val="7C466CEA"/>
    <w:rsid w:val="7C4B55C7"/>
    <w:rsid w:val="7CB2612E"/>
    <w:rsid w:val="7D0E5B0D"/>
    <w:rsid w:val="7FEA3E31"/>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B8CB8"/>
  <w15:docId w15:val="{1DACAAC9-B039-4FA3-8097-74E80B11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footer"/>
    <w:basedOn w:val="a"/>
    <w:link w:val="a5"/>
    <w:autoRedefine/>
    <w:qFormat/>
    <w:pPr>
      <w:tabs>
        <w:tab w:val="center" w:pos="4153"/>
        <w:tab w:val="right" w:pos="8306"/>
      </w:tabs>
      <w:snapToGrid w:val="0"/>
      <w:jc w:val="left"/>
    </w:pPr>
    <w:rPr>
      <w:sz w:val="18"/>
      <w:szCs w:val="18"/>
    </w:rPr>
  </w:style>
  <w:style w:type="paragraph" w:styleId="a6">
    <w:name w:val="header"/>
    <w:basedOn w:val="a"/>
    <w:link w:val="a7"/>
    <w:autoRedefine/>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qFormat/>
    <w:pPr>
      <w:spacing w:beforeAutospacing="1" w:afterAutospacing="1"/>
      <w:jc w:val="left"/>
    </w:pPr>
    <w:rPr>
      <w:rFonts w:cs="Times New Roman"/>
      <w:kern w:val="0"/>
    </w:rPr>
  </w:style>
  <w:style w:type="character" w:styleId="a9">
    <w:name w:val="Strong"/>
    <w:basedOn w:val="a0"/>
    <w:autoRedefine/>
    <w:qFormat/>
    <w:rPr>
      <w:b/>
    </w:rPr>
  </w:style>
  <w:style w:type="character" w:styleId="aa">
    <w:name w:val="annotation reference"/>
    <w:basedOn w:val="a0"/>
    <w:autoRedefine/>
    <w:qFormat/>
    <w:rPr>
      <w:sz w:val="21"/>
      <w:szCs w:val="21"/>
    </w:rPr>
  </w:style>
  <w:style w:type="character" w:customStyle="1" w:styleId="a7">
    <w:name w:val="页眉 字符"/>
    <w:basedOn w:val="a0"/>
    <w:link w:val="a6"/>
    <w:autoRedefine/>
    <w:qFormat/>
    <w:rPr>
      <w:rFonts w:asciiTheme="minorHAnsi" w:eastAsiaTheme="minorEastAsia" w:hAnsiTheme="minorHAnsi" w:cstheme="minorBidi"/>
      <w:kern w:val="2"/>
      <w:sz w:val="18"/>
      <w:szCs w:val="18"/>
    </w:rPr>
  </w:style>
  <w:style w:type="character" w:customStyle="1" w:styleId="a5">
    <w:name w:val="页脚 字符"/>
    <w:basedOn w:val="a0"/>
    <w:link w:val="a4"/>
    <w:autoRedefine/>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凸^-^凸</dc:creator>
  <cp:lastModifiedBy>张 成</cp:lastModifiedBy>
  <cp:revision>2</cp:revision>
  <dcterms:created xsi:type="dcterms:W3CDTF">2023-02-17T15:23:00Z</dcterms:created>
  <dcterms:modified xsi:type="dcterms:W3CDTF">2024-07-12T00:27:00Z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DD9620E7F9AD4F7EA57CBEFB515DBE4F_13</vt:lpwstr>
  </property>
</Properties>
</file>